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E3" w:rsidRPr="00551201" w:rsidRDefault="00733AE3" w:rsidP="00733AE3">
      <w:pPr>
        <w:pStyle w:val="Heading2"/>
      </w:pPr>
      <w:bookmarkStart w:id="0" w:name="_Toc441840191"/>
      <w:bookmarkStart w:id="1" w:name="_GoBack"/>
      <w:bookmarkEnd w:id="1"/>
      <w:r w:rsidRPr="00AF6EC9">
        <w:t xml:space="preserve">Customer Service Training For Staff </w:t>
      </w:r>
      <w:proofErr w:type="gramStart"/>
      <w:r w:rsidRPr="00AF6EC9">
        <w:t>And</w:t>
      </w:r>
      <w:proofErr w:type="gramEnd"/>
      <w:r w:rsidRPr="00AF6EC9">
        <w:t xml:space="preserve"> Providers</w:t>
      </w:r>
      <w:bookmarkEnd w:id="0"/>
    </w:p>
    <w:p w:rsidR="00733AE3" w:rsidRPr="008E6CF3" w:rsidRDefault="00733AE3" w:rsidP="00733AE3">
      <w:pPr>
        <w:jc w:val="both"/>
        <w:rPr>
          <w:rFonts w:cs="Arial"/>
        </w:rPr>
      </w:pPr>
      <w:r w:rsidRPr="008E6CF3">
        <w:rPr>
          <w:rFonts w:cs="Arial"/>
        </w:rPr>
        <w:t xml:space="preserve">Whether an organization decides to do their own customer service training, or bring outside professionals in, having a standardized training program is a foundation of having excellent patient experience.   An organization-wide training program communicates to all employees the specific behavioral expectations.  It also gives the message that all employees are held to the same standard, whether it is the CEO, someone with no direct patient experience (HR, </w:t>
      </w:r>
      <w:proofErr w:type="spellStart"/>
      <w:r w:rsidRPr="008E6CF3">
        <w:rPr>
          <w:rFonts w:cs="Arial"/>
        </w:rPr>
        <w:t>etc</w:t>
      </w:r>
      <w:proofErr w:type="spellEnd"/>
      <w:r w:rsidRPr="008E6CF3">
        <w:rPr>
          <w:rFonts w:cs="Arial"/>
        </w:rPr>
        <w:t xml:space="preserve">) providers, supervisor and line employees.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360"/>
      </w:tblGrid>
      <w:tr w:rsidR="00733AE3" w:rsidRPr="00B6271B" w:rsidTr="00C9217E">
        <w:tc>
          <w:tcPr>
            <w:tcW w:w="9540" w:type="dxa"/>
            <w:gridSpan w:val="2"/>
            <w:shd w:val="clear" w:color="auto" w:fill="FF9900"/>
          </w:tcPr>
          <w:p w:rsidR="00733AE3" w:rsidRPr="00B21DD6" w:rsidRDefault="00733AE3" w:rsidP="00C9217E">
            <w:pPr>
              <w:pStyle w:val="ListParagraph"/>
              <w:numPr>
                <w:ilvl w:val="0"/>
                <w:numId w:val="0"/>
              </w:numPr>
              <w:rPr>
                <w:color w:val="0000FF"/>
              </w:rPr>
            </w:pPr>
            <w:r w:rsidRPr="00B21DD6">
              <w:rPr>
                <w:rFonts w:ascii="Herald" w:hAnsi="Herald"/>
                <w:color w:val="0000FF"/>
              </w:rPr>
              <w:t>TRAINING PROGRAM CONTENT CHECKLIST</w:t>
            </w:r>
            <w:r>
              <w:rPr>
                <w:rFonts w:ascii="Herald" w:hAnsi="Herald"/>
                <w:color w:val="0000FF"/>
              </w:rPr>
              <w:t xml:space="preserve">                                                     </w:t>
            </w:r>
            <w:r w:rsidRPr="00151979">
              <w:rPr>
                <w:rFonts w:ascii="Herald" w:hAnsi="Herald"/>
                <w:noProof/>
                <w:color w:val="0000FF"/>
              </w:rPr>
              <w:drawing>
                <wp:inline distT="0" distB="0" distL="0" distR="0" wp14:anchorId="1B1FB018" wp14:editId="29B336CD">
                  <wp:extent cx="207010" cy="194945"/>
                  <wp:effectExtent l="0" t="0" r="254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10" cy="194945"/>
                          </a:xfrm>
                          <a:prstGeom prst="rect">
                            <a:avLst/>
                          </a:prstGeom>
                          <a:noFill/>
                          <a:ln>
                            <a:noFill/>
                          </a:ln>
                        </pic:spPr>
                      </pic:pic>
                    </a:graphicData>
                  </a:graphic>
                </wp:inline>
              </w:drawing>
            </w:r>
          </w:p>
        </w:tc>
      </w:tr>
      <w:tr w:rsidR="00733AE3" w:rsidRPr="00B6271B" w:rsidTr="00C9217E">
        <w:tc>
          <w:tcPr>
            <w:tcW w:w="9180" w:type="dxa"/>
          </w:tcPr>
          <w:p w:rsidR="00733AE3" w:rsidRPr="00B21DD6" w:rsidRDefault="00733AE3" w:rsidP="00C9217E">
            <w:pPr>
              <w:pStyle w:val="ListParagraph"/>
              <w:ind w:left="0"/>
            </w:pPr>
            <w:r w:rsidRPr="00B21DD6">
              <w:t xml:space="preserve">The organization’s mission </w:t>
            </w:r>
          </w:p>
        </w:tc>
        <w:tc>
          <w:tcPr>
            <w:tcW w:w="360" w:type="dxa"/>
          </w:tcPr>
          <w:p w:rsidR="00733AE3" w:rsidRPr="00B21DD6" w:rsidRDefault="00733AE3" w:rsidP="00C9217E">
            <w:pPr>
              <w:pStyle w:val="ListParagraph"/>
              <w:ind w:left="0"/>
            </w:pPr>
          </w:p>
        </w:tc>
      </w:tr>
      <w:tr w:rsidR="00733AE3" w:rsidRPr="00B6271B" w:rsidTr="00C9217E">
        <w:tc>
          <w:tcPr>
            <w:tcW w:w="9180" w:type="dxa"/>
            <w:shd w:val="clear" w:color="auto" w:fill="E6E6E6"/>
          </w:tcPr>
          <w:p w:rsidR="00733AE3" w:rsidRPr="00B21DD6" w:rsidRDefault="00733AE3" w:rsidP="00C9217E">
            <w:pPr>
              <w:pStyle w:val="ListParagraph"/>
              <w:ind w:left="0"/>
            </w:pPr>
            <w:r w:rsidRPr="00B21DD6">
              <w:t>The organization’s values</w:t>
            </w:r>
          </w:p>
        </w:tc>
        <w:tc>
          <w:tcPr>
            <w:tcW w:w="360" w:type="dxa"/>
            <w:shd w:val="clear" w:color="auto" w:fill="E6E6E6"/>
          </w:tcPr>
          <w:p w:rsidR="00733AE3" w:rsidRPr="00B21DD6" w:rsidRDefault="00733AE3" w:rsidP="00C9217E">
            <w:pPr>
              <w:pStyle w:val="ListParagraph"/>
              <w:ind w:left="0"/>
            </w:pPr>
          </w:p>
        </w:tc>
      </w:tr>
      <w:tr w:rsidR="00733AE3" w:rsidRPr="00B6271B" w:rsidTr="00C9217E">
        <w:tc>
          <w:tcPr>
            <w:tcW w:w="9180" w:type="dxa"/>
          </w:tcPr>
          <w:p w:rsidR="00733AE3" w:rsidRPr="00B21DD6" w:rsidRDefault="00733AE3" w:rsidP="00C9217E">
            <w:pPr>
              <w:pStyle w:val="ListParagraph"/>
              <w:ind w:left="0"/>
            </w:pPr>
            <w:r w:rsidRPr="00B21DD6">
              <w:t xml:space="preserve">The organization’s commitment to an excellent patient experience, </w:t>
            </w:r>
          </w:p>
          <w:p w:rsidR="00733AE3" w:rsidRPr="00B21DD6" w:rsidRDefault="00733AE3" w:rsidP="00C9217E">
            <w:pPr>
              <w:pStyle w:val="ListParagraph"/>
              <w:ind w:left="0"/>
            </w:pPr>
            <w:r w:rsidRPr="00B21DD6">
              <w:t>and how it connects to the mission and values</w:t>
            </w:r>
          </w:p>
        </w:tc>
        <w:tc>
          <w:tcPr>
            <w:tcW w:w="360" w:type="dxa"/>
          </w:tcPr>
          <w:p w:rsidR="00733AE3" w:rsidRPr="00B21DD6" w:rsidRDefault="00733AE3" w:rsidP="00C9217E">
            <w:pPr>
              <w:pStyle w:val="ListParagraph"/>
              <w:ind w:left="0"/>
            </w:pPr>
          </w:p>
        </w:tc>
      </w:tr>
      <w:tr w:rsidR="00733AE3" w:rsidRPr="00B6271B" w:rsidTr="00C9217E">
        <w:tc>
          <w:tcPr>
            <w:tcW w:w="9180" w:type="dxa"/>
            <w:shd w:val="clear" w:color="auto" w:fill="E6E6E6"/>
          </w:tcPr>
          <w:p w:rsidR="00733AE3" w:rsidRPr="00B21DD6" w:rsidRDefault="00733AE3" w:rsidP="00C9217E">
            <w:pPr>
              <w:pStyle w:val="ListParagraph"/>
              <w:ind w:left="0"/>
            </w:pPr>
            <w:r w:rsidRPr="00B21DD6">
              <w:t xml:space="preserve">Clear expectations about specific behaviors that are adhered to for every client, every time.  </w:t>
            </w:r>
          </w:p>
        </w:tc>
        <w:tc>
          <w:tcPr>
            <w:tcW w:w="360" w:type="dxa"/>
            <w:shd w:val="clear" w:color="auto" w:fill="E6E6E6"/>
          </w:tcPr>
          <w:p w:rsidR="00733AE3" w:rsidRPr="00B21DD6" w:rsidRDefault="00733AE3" w:rsidP="00C9217E">
            <w:pPr>
              <w:pStyle w:val="ListParagraph"/>
              <w:ind w:left="0"/>
            </w:pPr>
          </w:p>
        </w:tc>
      </w:tr>
      <w:tr w:rsidR="00733AE3" w:rsidRPr="00B6271B" w:rsidTr="00C9217E">
        <w:tc>
          <w:tcPr>
            <w:tcW w:w="9180" w:type="dxa"/>
          </w:tcPr>
          <w:p w:rsidR="00733AE3" w:rsidRDefault="00733AE3" w:rsidP="00C9217E">
            <w:pPr>
              <w:pStyle w:val="ListParagraph"/>
              <w:ind w:left="0"/>
            </w:pPr>
            <w:r w:rsidRPr="00B21DD6">
              <w:t>These behavioral expectations ideally are based on research about what is important to clients:</w:t>
            </w:r>
          </w:p>
          <w:p w:rsidR="00733AE3" w:rsidRPr="00B21DD6" w:rsidRDefault="00733AE3" w:rsidP="00C9217E">
            <w:pPr>
              <w:pStyle w:val="ListParagraph"/>
              <w:ind w:left="0"/>
            </w:pPr>
            <w:r w:rsidRPr="00B21DD6">
              <w:t>Eye contact</w:t>
            </w:r>
          </w:p>
        </w:tc>
        <w:tc>
          <w:tcPr>
            <w:tcW w:w="360" w:type="dxa"/>
          </w:tcPr>
          <w:p w:rsidR="00733AE3" w:rsidRPr="00B21DD6" w:rsidRDefault="00733AE3" w:rsidP="00733AE3">
            <w:pPr>
              <w:pStyle w:val="ListParagraph"/>
              <w:numPr>
                <w:ilvl w:val="1"/>
                <w:numId w:val="2"/>
              </w:numPr>
              <w:spacing w:after="0" w:line="240" w:lineRule="auto"/>
            </w:pPr>
          </w:p>
        </w:tc>
      </w:tr>
      <w:tr w:rsidR="00733AE3" w:rsidRPr="00B6271B" w:rsidTr="00C9217E">
        <w:tc>
          <w:tcPr>
            <w:tcW w:w="9180" w:type="dxa"/>
            <w:shd w:val="clear" w:color="auto" w:fill="E6E6E6"/>
          </w:tcPr>
          <w:p w:rsidR="00733AE3" w:rsidRPr="00B21DD6" w:rsidRDefault="00733AE3" w:rsidP="00C9217E">
            <w:pPr>
              <w:pStyle w:val="ListParagraph"/>
              <w:ind w:left="1080"/>
            </w:pPr>
            <w:r w:rsidRPr="00B21DD6">
              <w:t>Greeting/Salutation</w:t>
            </w:r>
          </w:p>
        </w:tc>
        <w:tc>
          <w:tcPr>
            <w:tcW w:w="360" w:type="dxa"/>
            <w:shd w:val="clear" w:color="auto" w:fill="E6E6E6"/>
          </w:tcPr>
          <w:p w:rsidR="00733AE3" w:rsidRPr="00B21DD6" w:rsidRDefault="00733AE3" w:rsidP="00733AE3">
            <w:pPr>
              <w:pStyle w:val="ListParagraph"/>
              <w:numPr>
                <w:ilvl w:val="1"/>
                <w:numId w:val="2"/>
              </w:numPr>
              <w:spacing w:after="0" w:line="240" w:lineRule="auto"/>
            </w:pPr>
          </w:p>
        </w:tc>
      </w:tr>
      <w:tr w:rsidR="00733AE3" w:rsidRPr="00B6271B" w:rsidTr="00C9217E">
        <w:tc>
          <w:tcPr>
            <w:tcW w:w="9180" w:type="dxa"/>
          </w:tcPr>
          <w:p w:rsidR="00733AE3" w:rsidRPr="00B21DD6" w:rsidRDefault="00733AE3" w:rsidP="00733AE3">
            <w:pPr>
              <w:pStyle w:val="ListParagraph"/>
              <w:numPr>
                <w:ilvl w:val="1"/>
                <w:numId w:val="1"/>
              </w:numPr>
            </w:pPr>
            <w:r w:rsidRPr="00B21DD6">
              <w:t>Use of formal names unless permission given otherwise</w:t>
            </w:r>
          </w:p>
        </w:tc>
        <w:tc>
          <w:tcPr>
            <w:tcW w:w="360" w:type="dxa"/>
          </w:tcPr>
          <w:p w:rsidR="00733AE3" w:rsidRPr="00B21DD6" w:rsidRDefault="00733AE3" w:rsidP="00733AE3">
            <w:pPr>
              <w:pStyle w:val="ListParagraph"/>
              <w:numPr>
                <w:ilvl w:val="2"/>
                <w:numId w:val="3"/>
              </w:numPr>
              <w:spacing w:after="0" w:line="240" w:lineRule="auto"/>
            </w:pPr>
          </w:p>
        </w:tc>
      </w:tr>
      <w:tr w:rsidR="00733AE3" w:rsidRPr="00B6271B" w:rsidTr="00C9217E">
        <w:tc>
          <w:tcPr>
            <w:tcW w:w="9180" w:type="dxa"/>
            <w:shd w:val="clear" w:color="auto" w:fill="E6E6E6"/>
          </w:tcPr>
          <w:p w:rsidR="00733AE3" w:rsidRPr="00B21DD6" w:rsidRDefault="00733AE3" w:rsidP="00733AE3">
            <w:pPr>
              <w:pStyle w:val="ListParagraph"/>
              <w:numPr>
                <w:ilvl w:val="1"/>
                <w:numId w:val="1"/>
              </w:numPr>
            </w:pPr>
            <w:r w:rsidRPr="00B21DD6">
              <w:t>Introduction of self</w:t>
            </w:r>
          </w:p>
        </w:tc>
        <w:tc>
          <w:tcPr>
            <w:tcW w:w="360" w:type="dxa"/>
            <w:shd w:val="clear" w:color="auto" w:fill="E6E6E6"/>
          </w:tcPr>
          <w:p w:rsidR="00733AE3" w:rsidRPr="00B21DD6" w:rsidRDefault="00733AE3" w:rsidP="00733AE3">
            <w:pPr>
              <w:pStyle w:val="ListParagraph"/>
              <w:numPr>
                <w:ilvl w:val="2"/>
                <w:numId w:val="3"/>
              </w:numPr>
              <w:spacing w:after="0" w:line="240" w:lineRule="auto"/>
            </w:pPr>
          </w:p>
        </w:tc>
      </w:tr>
      <w:tr w:rsidR="00733AE3" w:rsidRPr="00B6271B" w:rsidTr="00C9217E">
        <w:tc>
          <w:tcPr>
            <w:tcW w:w="9180" w:type="dxa"/>
          </w:tcPr>
          <w:p w:rsidR="00733AE3" w:rsidRPr="00B21DD6" w:rsidRDefault="00733AE3" w:rsidP="00733AE3">
            <w:pPr>
              <w:pStyle w:val="ListParagraph"/>
              <w:numPr>
                <w:ilvl w:val="1"/>
                <w:numId w:val="1"/>
              </w:numPr>
            </w:pPr>
            <w:r w:rsidRPr="00B21DD6">
              <w:t>Smiling</w:t>
            </w:r>
          </w:p>
        </w:tc>
        <w:tc>
          <w:tcPr>
            <w:tcW w:w="360" w:type="dxa"/>
          </w:tcPr>
          <w:p w:rsidR="00733AE3" w:rsidRPr="00B21DD6" w:rsidRDefault="00733AE3" w:rsidP="00733AE3">
            <w:pPr>
              <w:pStyle w:val="ListParagraph"/>
              <w:numPr>
                <w:ilvl w:val="2"/>
                <w:numId w:val="3"/>
              </w:numPr>
              <w:spacing w:after="0" w:line="240" w:lineRule="auto"/>
            </w:pPr>
          </w:p>
        </w:tc>
      </w:tr>
      <w:tr w:rsidR="00733AE3" w:rsidRPr="00B6271B" w:rsidTr="00C9217E">
        <w:tc>
          <w:tcPr>
            <w:tcW w:w="9180" w:type="dxa"/>
            <w:shd w:val="clear" w:color="auto" w:fill="E6E6E6"/>
          </w:tcPr>
          <w:p w:rsidR="00733AE3" w:rsidRPr="00B21DD6" w:rsidRDefault="00733AE3" w:rsidP="00C9217E">
            <w:pPr>
              <w:pStyle w:val="ListParagraph"/>
              <w:ind w:left="1080"/>
            </w:pPr>
            <w:r w:rsidRPr="00B21DD6">
              <w:t>Reflective listening</w:t>
            </w:r>
          </w:p>
        </w:tc>
        <w:tc>
          <w:tcPr>
            <w:tcW w:w="360" w:type="dxa"/>
            <w:shd w:val="clear" w:color="auto" w:fill="E6E6E6"/>
          </w:tcPr>
          <w:p w:rsidR="00733AE3" w:rsidRPr="00B21DD6" w:rsidRDefault="00733AE3" w:rsidP="00733AE3">
            <w:pPr>
              <w:pStyle w:val="ListParagraph"/>
              <w:numPr>
                <w:ilvl w:val="1"/>
                <w:numId w:val="3"/>
              </w:numPr>
              <w:spacing w:after="0" w:line="240" w:lineRule="auto"/>
            </w:pPr>
          </w:p>
        </w:tc>
      </w:tr>
      <w:tr w:rsidR="00733AE3" w:rsidRPr="00B6271B" w:rsidTr="00C9217E">
        <w:trPr>
          <w:trHeight w:val="555"/>
        </w:trPr>
        <w:tc>
          <w:tcPr>
            <w:tcW w:w="9180" w:type="dxa"/>
            <w:vMerge w:val="restart"/>
          </w:tcPr>
          <w:p w:rsidR="00733AE3" w:rsidRPr="00B21DD6" w:rsidRDefault="00733AE3" w:rsidP="00C9217E">
            <w:pPr>
              <w:pStyle w:val="ListParagraph"/>
              <w:ind w:left="0"/>
            </w:pPr>
            <w:r w:rsidRPr="00B21DD6">
              <w:t>Use of empathy-conveying body language:</w:t>
            </w:r>
          </w:p>
          <w:p w:rsidR="00733AE3" w:rsidRPr="00B21DD6" w:rsidRDefault="00733AE3" w:rsidP="00C9217E">
            <w:pPr>
              <w:pStyle w:val="ListParagraph"/>
              <w:tabs>
                <w:tab w:val="clear" w:pos="720"/>
              </w:tabs>
              <w:ind w:left="1080"/>
            </w:pPr>
            <w:r w:rsidRPr="00B21DD6">
              <w:t>Sitting if patient is sitting</w:t>
            </w:r>
          </w:p>
          <w:p w:rsidR="00733AE3" w:rsidRPr="00B21DD6" w:rsidRDefault="00733AE3" w:rsidP="00C9217E">
            <w:pPr>
              <w:pStyle w:val="ListParagraph"/>
              <w:ind w:left="1080"/>
            </w:pPr>
            <w:r w:rsidRPr="00B21DD6">
              <w:t>Mirroring facial expressions</w:t>
            </w:r>
          </w:p>
          <w:p w:rsidR="00733AE3" w:rsidRPr="00B21DD6" w:rsidRDefault="00733AE3" w:rsidP="00C9217E">
            <w:pPr>
              <w:pStyle w:val="ListParagraph"/>
              <w:ind w:left="1080"/>
            </w:pPr>
            <w:r w:rsidRPr="00B21DD6">
              <w:t>Handshakes when indicated</w:t>
            </w:r>
          </w:p>
        </w:tc>
        <w:tc>
          <w:tcPr>
            <w:tcW w:w="360" w:type="dxa"/>
          </w:tcPr>
          <w:p w:rsidR="00733AE3" w:rsidRPr="00B21DD6" w:rsidRDefault="00733AE3" w:rsidP="00733AE3">
            <w:pPr>
              <w:pStyle w:val="ListParagraph"/>
              <w:numPr>
                <w:ilvl w:val="1"/>
                <w:numId w:val="3"/>
              </w:numPr>
              <w:spacing w:after="0" w:line="240" w:lineRule="auto"/>
            </w:pPr>
          </w:p>
        </w:tc>
      </w:tr>
      <w:tr w:rsidR="00733AE3" w:rsidRPr="00B6271B" w:rsidTr="00C9217E">
        <w:trPr>
          <w:trHeight w:val="330"/>
        </w:trPr>
        <w:tc>
          <w:tcPr>
            <w:tcW w:w="9180" w:type="dxa"/>
            <w:vMerge/>
          </w:tcPr>
          <w:p w:rsidR="00733AE3" w:rsidRPr="00B21DD6" w:rsidRDefault="00733AE3" w:rsidP="00C9217E">
            <w:pPr>
              <w:pStyle w:val="ListParagraph"/>
              <w:ind w:left="0"/>
            </w:pPr>
          </w:p>
        </w:tc>
        <w:tc>
          <w:tcPr>
            <w:tcW w:w="360" w:type="dxa"/>
            <w:shd w:val="clear" w:color="auto" w:fill="E6E6E6"/>
          </w:tcPr>
          <w:p w:rsidR="00733AE3" w:rsidRPr="00B21DD6" w:rsidRDefault="00733AE3" w:rsidP="00733AE3">
            <w:pPr>
              <w:pStyle w:val="ListParagraph"/>
              <w:numPr>
                <w:ilvl w:val="1"/>
                <w:numId w:val="3"/>
              </w:numPr>
              <w:spacing w:after="0" w:line="240" w:lineRule="auto"/>
            </w:pPr>
          </w:p>
        </w:tc>
      </w:tr>
      <w:tr w:rsidR="00733AE3" w:rsidRPr="00B6271B" w:rsidTr="00C9217E">
        <w:trPr>
          <w:trHeight w:val="270"/>
        </w:trPr>
        <w:tc>
          <w:tcPr>
            <w:tcW w:w="9180" w:type="dxa"/>
            <w:vMerge/>
          </w:tcPr>
          <w:p w:rsidR="00733AE3" w:rsidRPr="00B21DD6" w:rsidRDefault="00733AE3" w:rsidP="00C9217E">
            <w:pPr>
              <w:pStyle w:val="ListParagraph"/>
              <w:ind w:left="0"/>
            </w:pPr>
          </w:p>
        </w:tc>
        <w:tc>
          <w:tcPr>
            <w:tcW w:w="360" w:type="dxa"/>
          </w:tcPr>
          <w:p w:rsidR="00733AE3" w:rsidRPr="00B21DD6" w:rsidRDefault="00733AE3" w:rsidP="00733AE3">
            <w:pPr>
              <w:pStyle w:val="ListParagraph"/>
              <w:numPr>
                <w:ilvl w:val="1"/>
                <w:numId w:val="3"/>
              </w:numPr>
              <w:spacing w:after="0" w:line="240" w:lineRule="auto"/>
            </w:pPr>
          </w:p>
        </w:tc>
      </w:tr>
      <w:tr w:rsidR="00733AE3" w:rsidRPr="00B6271B" w:rsidTr="00C9217E">
        <w:tc>
          <w:tcPr>
            <w:tcW w:w="9180" w:type="dxa"/>
            <w:shd w:val="clear" w:color="auto" w:fill="E6E6E6"/>
          </w:tcPr>
          <w:p w:rsidR="00733AE3" w:rsidRPr="00B21DD6" w:rsidRDefault="00733AE3" w:rsidP="00C9217E">
            <w:pPr>
              <w:pStyle w:val="ListParagraph"/>
              <w:ind w:left="1080"/>
            </w:pPr>
            <w:r w:rsidRPr="00B21DD6">
              <w:t>Guidance on what to do when a client is unhappy with services</w:t>
            </w:r>
          </w:p>
        </w:tc>
        <w:tc>
          <w:tcPr>
            <w:tcW w:w="360" w:type="dxa"/>
            <w:shd w:val="clear" w:color="auto" w:fill="E6E6E6"/>
          </w:tcPr>
          <w:p w:rsidR="00733AE3" w:rsidRPr="00B21DD6" w:rsidRDefault="00733AE3" w:rsidP="00733AE3">
            <w:pPr>
              <w:pStyle w:val="ListParagraph"/>
              <w:numPr>
                <w:ilvl w:val="1"/>
                <w:numId w:val="4"/>
              </w:numPr>
              <w:spacing w:after="0" w:line="240" w:lineRule="auto"/>
            </w:pPr>
          </w:p>
        </w:tc>
      </w:tr>
    </w:tbl>
    <w:p w:rsidR="00733AE3" w:rsidRPr="0010725D" w:rsidRDefault="00733AE3" w:rsidP="00733AE3">
      <w:pPr>
        <w:rPr>
          <w:i/>
        </w:rPr>
      </w:pPr>
      <w:r w:rsidRPr="0010725D">
        <w:rPr>
          <w:i/>
        </w:rPr>
        <w:t xml:space="preserve">It is important that training programs model the very thing they teach, and that the training experience for employees is consistent with how we want employees to each other and clients.  </w:t>
      </w:r>
    </w:p>
    <w:p w:rsidR="00733AE3" w:rsidRPr="0010725D" w:rsidRDefault="00733AE3" w:rsidP="00733AE3">
      <w:pPr>
        <w:jc w:val="center"/>
        <w:rPr>
          <w:rFonts w:ascii="Herald" w:hAnsi="Herald"/>
          <w:i/>
          <w:color w:val="FFFFFF"/>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360"/>
      </w:tblGrid>
      <w:tr w:rsidR="00733AE3" w:rsidRPr="00991733" w:rsidTr="00C9217E">
        <w:tc>
          <w:tcPr>
            <w:tcW w:w="9540" w:type="dxa"/>
            <w:gridSpan w:val="2"/>
            <w:shd w:val="clear" w:color="auto" w:fill="FF9900"/>
          </w:tcPr>
          <w:p w:rsidR="00733AE3" w:rsidRPr="00B21DD6" w:rsidRDefault="00733AE3" w:rsidP="00C9217E">
            <w:pPr>
              <w:jc w:val="center"/>
              <w:rPr>
                <w:rFonts w:ascii="Herald" w:hAnsi="Herald"/>
                <w:color w:val="FFFFFF"/>
              </w:rPr>
            </w:pPr>
            <w:r w:rsidRPr="00B21DD6">
              <w:rPr>
                <w:rFonts w:ascii="Herald" w:hAnsi="Herald"/>
                <w:color w:val="0000FF"/>
              </w:rPr>
              <w:t>MODELING CUSTOMER SERVICE IN THE TRAINING PROCESS</w:t>
            </w:r>
            <w:r>
              <w:rPr>
                <w:rFonts w:ascii="Herald" w:hAnsi="Herald"/>
                <w:color w:val="0000FF"/>
              </w:rPr>
              <w:t xml:space="preserve">                         </w:t>
            </w:r>
            <w:r w:rsidRPr="00151979">
              <w:rPr>
                <w:rFonts w:ascii="Herald" w:hAnsi="Herald"/>
                <w:noProof/>
                <w:color w:val="0000FF"/>
              </w:rPr>
              <w:drawing>
                <wp:inline distT="0" distB="0" distL="0" distR="0" wp14:anchorId="5B4A2525" wp14:editId="467FF201">
                  <wp:extent cx="207010" cy="194945"/>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10" cy="194945"/>
                          </a:xfrm>
                          <a:prstGeom prst="rect">
                            <a:avLst/>
                          </a:prstGeom>
                          <a:noFill/>
                          <a:ln>
                            <a:noFill/>
                          </a:ln>
                        </pic:spPr>
                      </pic:pic>
                    </a:graphicData>
                  </a:graphic>
                </wp:inline>
              </w:drawing>
            </w:r>
          </w:p>
        </w:tc>
      </w:tr>
      <w:tr w:rsidR="00733AE3" w:rsidRPr="00A05EF8" w:rsidTr="00C9217E">
        <w:tc>
          <w:tcPr>
            <w:tcW w:w="9180" w:type="dxa"/>
          </w:tcPr>
          <w:p w:rsidR="00733AE3" w:rsidRPr="00B21DD6" w:rsidRDefault="00733AE3" w:rsidP="00C9217E">
            <w:r w:rsidRPr="00B21DD6">
              <w:t>Trainers arrive early to allow for eye contact, smiling, and greeting of all employee participants (modeling empathy conveyance/warmth)</w:t>
            </w:r>
          </w:p>
        </w:tc>
        <w:tc>
          <w:tcPr>
            <w:tcW w:w="360" w:type="dxa"/>
          </w:tcPr>
          <w:p w:rsidR="00733AE3" w:rsidRPr="00A05EF8" w:rsidRDefault="00733AE3" w:rsidP="00C9217E"/>
        </w:tc>
      </w:tr>
      <w:tr w:rsidR="00733AE3" w:rsidRPr="00A05EF8" w:rsidTr="00C9217E">
        <w:tc>
          <w:tcPr>
            <w:tcW w:w="9180" w:type="dxa"/>
            <w:shd w:val="clear" w:color="auto" w:fill="E6E6E6"/>
          </w:tcPr>
          <w:p w:rsidR="00733AE3" w:rsidRPr="00B21DD6" w:rsidRDefault="00733AE3" w:rsidP="00C9217E">
            <w:pPr>
              <w:pStyle w:val="ListParagraph"/>
              <w:ind w:left="0"/>
            </w:pPr>
            <w:r w:rsidRPr="00B21DD6">
              <w:t>Trainers model reflective listening of participants comments/questions during training (modeling skilled communication)</w:t>
            </w:r>
          </w:p>
        </w:tc>
        <w:tc>
          <w:tcPr>
            <w:tcW w:w="360" w:type="dxa"/>
            <w:shd w:val="clear" w:color="auto" w:fill="E6E6E6"/>
          </w:tcPr>
          <w:p w:rsidR="00733AE3" w:rsidRPr="00B21DD6" w:rsidRDefault="00733AE3" w:rsidP="00C9217E">
            <w:pPr>
              <w:pStyle w:val="ListParagraph"/>
              <w:ind w:left="0"/>
            </w:pPr>
          </w:p>
        </w:tc>
      </w:tr>
      <w:tr w:rsidR="00733AE3" w:rsidRPr="00A05EF8" w:rsidTr="00C9217E">
        <w:tc>
          <w:tcPr>
            <w:tcW w:w="9180" w:type="dxa"/>
          </w:tcPr>
          <w:p w:rsidR="00733AE3" w:rsidRPr="00B21DD6" w:rsidRDefault="00733AE3" w:rsidP="00C9217E">
            <w:pPr>
              <w:pStyle w:val="ListParagraph"/>
              <w:ind w:left="0"/>
            </w:pPr>
            <w:r w:rsidRPr="00B21DD6">
              <w:lastRenderedPageBreak/>
              <w:t>Participants are thanked for coming, even if training is mandatory (modeling respect for clients’ time and acknowledgment of their effort)</w:t>
            </w:r>
          </w:p>
        </w:tc>
        <w:tc>
          <w:tcPr>
            <w:tcW w:w="360" w:type="dxa"/>
          </w:tcPr>
          <w:p w:rsidR="00733AE3" w:rsidRPr="00B21DD6" w:rsidRDefault="00733AE3" w:rsidP="00C9217E">
            <w:pPr>
              <w:pStyle w:val="ListParagraph"/>
              <w:ind w:left="0"/>
            </w:pPr>
          </w:p>
        </w:tc>
      </w:tr>
      <w:tr w:rsidR="00733AE3" w:rsidRPr="00A05EF8" w:rsidTr="00C9217E">
        <w:tc>
          <w:tcPr>
            <w:tcW w:w="9180" w:type="dxa"/>
            <w:shd w:val="clear" w:color="auto" w:fill="E6E6E6"/>
          </w:tcPr>
          <w:p w:rsidR="00733AE3" w:rsidRPr="00B21DD6" w:rsidRDefault="00733AE3" w:rsidP="00C9217E">
            <w:pPr>
              <w:pStyle w:val="ListParagraph"/>
              <w:ind w:left="0"/>
            </w:pPr>
            <w:r w:rsidRPr="00B21DD6">
              <w:t>Participants are asked to set self-selected, specific goals from the target behaviors discussed before leaving the training (modeling respecting patients autonomy setting self- management goals)</w:t>
            </w:r>
          </w:p>
        </w:tc>
        <w:tc>
          <w:tcPr>
            <w:tcW w:w="360" w:type="dxa"/>
            <w:shd w:val="clear" w:color="auto" w:fill="E6E6E6"/>
          </w:tcPr>
          <w:p w:rsidR="00733AE3" w:rsidRPr="00B21DD6" w:rsidRDefault="00733AE3" w:rsidP="00C9217E">
            <w:pPr>
              <w:pStyle w:val="ListParagraph"/>
              <w:ind w:left="0"/>
            </w:pPr>
          </w:p>
        </w:tc>
      </w:tr>
      <w:tr w:rsidR="00733AE3" w:rsidRPr="00A05EF8" w:rsidTr="00C9217E">
        <w:tc>
          <w:tcPr>
            <w:tcW w:w="9180" w:type="dxa"/>
          </w:tcPr>
          <w:p w:rsidR="00733AE3" w:rsidRPr="00B21DD6" w:rsidRDefault="00733AE3" w:rsidP="00C9217E">
            <w:pPr>
              <w:pStyle w:val="ListParagraph"/>
              <w:ind w:left="0"/>
            </w:pPr>
            <w:r w:rsidRPr="00B21DD6">
              <w:t>Refreshments are provided (modeling addressing patient comfort and a spirit of hospitality)</w:t>
            </w:r>
          </w:p>
        </w:tc>
        <w:tc>
          <w:tcPr>
            <w:tcW w:w="360" w:type="dxa"/>
          </w:tcPr>
          <w:p w:rsidR="00733AE3" w:rsidRPr="00B21DD6" w:rsidRDefault="00733AE3" w:rsidP="00C9217E">
            <w:pPr>
              <w:pStyle w:val="ListParagraph"/>
              <w:ind w:left="0"/>
            </w:pPr>
          </w:p>
        </w:tc>
      </w:tr>
      <w:tr w:rsidR="00733AE3" w:rsidRPr="00A05EF8" w:rsidTr="00C9217E">
        <w:tc>
          <w:tcPr>
            <w:tcW w:w="9180" w:type="dxa"/>
            <w:shd w:val="clear" w:color="auto" w:fill="E6E6E6"/>
          </w:tcPr>
          <w:p w:rsidR="00733AE3" w:rsidRPr="00B21DD6" w:rsidRDefault="00733AE3" w:rsidP="00C9217E">
            <w:pPr>
              <w:pStyle w:val="ListParagraph"/>
              <w:ind w:left="0"/>
            </w:pPr>
            <w:r w:rsidRPr="00B21DD6">
              <w:t>Follow-up email communication is sent, thanking participants for their time and prompting/reminding them of their goal (modeling follow up support and interest)</w:t>
            </w:r>
          </w:p>
        </w:tc>
        <w:tc>
          <w:tcPr>
            <w:tcW w:w="360" w:type="dxa"/>
            <w:shd w:val="clear" w:color="auto" w:fill="E6E6E6"/>
          </w:tcPr>
          <w:p w:rsidR="00733AE3" w:rsidRPr="00B21DD6" w:rsidRDefault="00733AE3" w:rsidP="00C9217E">
            <w:pPr>
              <w:pStyle w:val="ListParagraph"/>
              <w:ind w:left="0"/>
            </w:pPr>
          </w:p>
        </w:tc>
      </w:tr>
    </w:tbl>
    <w:p w:rsidR="00DE678C" w:rsidRDefault="00733AE3">
      <w:r>
        <w:rPr>
          <w:i/>
        </w:rPr>
        <w:t>C</w:t>
      </w:r>
      <w:r w:rsidRPr="00861855">
        <w:rPr>
          <w:i/>
        </w:rPr>
        <w:t>ourtesy of</w:t>
      </w:r>
      <w:r>
        <w:rPr>
          <w:i/>
        </w:rPr>
        <w:t xml:space="preserve"> the</w:t>
      </w:r>
      <w:r w:rsidRPr="00861855">
        <w:rPr>
          <w:i/>
        </w:rPr>
        <w:t xml:space="preserve"> </w:t>
      </w:r>
      <w:r>
        <w:rPr>
          <w:i/>
        </w:rPr>
        <w:t xml:space="preserve">Institute for Healthcare; </w:t>
      </w:r>
      <w:r w:rsidRPr="00861855">
        <w:rPr>
          <w:i/>
        </w:rPr>
        <w:t>ht</w:t>
      </w:r>
      <w:r>
        <w:rPr>
          <w:i/>
        </w:rPr>
        <w:t>tp://healthcarecomm.org/training</w:t>
      </w:r>
      <w:r w:rsidRPr="00861855">
        <w:rPr>
          <w:i/>
        </w:rPr>
        <w:t>/continuing-education-workshops/treating-patients-with-c-a-r-e/</w:t>
      </w:r>
    </w:p>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rald">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38B"/>
    <w:multiLevelType w:val="hybridMultilevel"/>
    <w:tmpl w:val="FC8C3D08"/>
    <w:lvl w:ilvl="0" w:tplc="04090001">
      <w:start w:val="1"/>
      <w:numFmt w:val="bullet"/>
      <w:pStyle w:val="List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67772"/>
    <w:multiLevelType w:val="hybridMultilevel"/>
    <w:tmpl w:val="21589F0C"/>
    <w:lvl w:ilvl="0" w:tplc="720A4F22">
      <w:start w:val="8"/>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51155176"/>
    <w:multiLevelType w:val="hybridMultilevel"/>
    <w:tmpl w:val="073CE2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A413FAF"/>
    <w:multiLevelType w:val="hybridMultilevel"/>
    <w:tmpl w:val="B2307ED4"/>
    <w:lvl w:ilvl="0" w:tplc="AD4A7348">
      <w:start w:val="3"/>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7EBDA2">
      <w:start w:val="3"/>
      <w:numFmt w:val="bullet"/>
      <w:lvlText w:val="-"/>
      <w:lvlJc w:val="left"/>
      <w:pPr>
        <w:tabs>
          <w:tab w:val="num" w:pos="3060"/>
        </w:tabs>
        <w:ind w:left="3060" w:hanging="360"/>
      </w:pPr>
      <w:rPr>
        <w:rFonts w:ascii="Calibri" w:eastAsia="MS Minngs" w:hAnsi="Calibri"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E3"/>
    <w:rsid w:val="00733AE3"/>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D1E8E-111E-4439-B67D-22C9E7E3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w:qFormat/>
    <w:rsid w:val="00733AE3"/>
    <w:pPr>
      <w:spacing w:line="276" w:lineRule="auto"/>
    </w:pPr>
    <w:rPr>
      <w:rFonts w:ascii="Calibri" w:hAnsi="Calibri"/>
      <w:color w:val="595959" w:themeColor="text1" w:themeTint="A6"/>
    </w:rPr>
  </w:style>
  <w:style w:type="paragraph" w:styleId="Heading2">
    <w:name w:val="heading 2"/>
    <w:basedOn w:val="Normal"/>
    <w:next w:val="Normal"/>
    <w:link w:val="Heading2Char"/>
    <w:uiPriority w:val="9"/>
    <w:unhideWhenUsed/>
    <w:qFormat/>
    <w:rsid w:val="00733AE3"/>
    <w:pPr>
      <w:keepNext/>
      <w:keepLines/>
      <w:spacing w:before="240" w:after="0"/>
      <w:outlineLvl w:val="1"/>
    </w:pPr>
    <w:rPr>
      <w:rFonts w:asciiTheme="majorHAnsi" w:eastAsiaTheme="majorEastAsia" w:hAnsiTheme="majorHAnsi" w:cstheme="majorBidi"/>
      <w:b/>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AE3"/>
    <w:rPr>
      <w:rFonts w:asciiTheme="majorHAnsi" w:eastAsiaTheme="majorEastAsia" w:hAnsiTheme="majorHAnsi" w:cstheme="majorBidi"/>
      <w:b/>
      <w:color w:val="595959" w:themeColor="text1" w:themeTint="A6"/>
      <w:sz w:val="30"/>
      <w:szCs w:val="26"/>
    </w:rPr>
  </w:style>
  <w:style w:type="paragraph" w:styleId="ListParagraph">
    <w:name w:val="List Paragraph"/>
    <w:basedOn w:val="Normal"/>
    <w:link w:val="ListParagraphChar"/>
    <w:uiPriority w:val="34"/>
    <w:qFormat/>
    <w:rsid w:val="00733AE3"/>
    <w:pPr>
      <w:numPr>
        <w:numId w:val="1"/>
      </w:numPr>
      <w:spacing w:after="40"/>
    </w:pPr>
  </w:style>
  <w:style w:type="character" w:customStyle="1" w:styleId="ListParagraphChar">
    <w:name w:val="List Paragraph Char"/>
    <w:basedOn w:val="DefaultParagraphFont"/>
    <w:link w:val="ListParagraph"/>
    <w:uiPriority w:val="34"/>
    <w:rsid w:val="00733AE3"/>
    <w:rPr>
      <w:rFonts w:ascii="Calibri" w:hAnsi="Calibr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2016-01-30T00:04:00Z</dcterms:created>
  <dcterms:modified xsi:type="dcterms:W3CDTF">2016-01-30T00:04:00Z</dcterms:modified>
</cp:coreProperties>
</file>